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К.М.06.01.08 «История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9.9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К.М.06.01.08 «История русского языка»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9.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811.88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70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2891.9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57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1934.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pPr>
              <w:jc w:val="both"/>
              <w:spacing w:after="0" w:line="240" w:lineRule="auto"/>
              <w:rPr>
                <w:sz w:val="24"/>
                <w:szCs w:val="24"/>
              </w:rPr>
            </w:pPr>
            <w:r>
              <w:rPr>
                <w:rFonts w:ascii="Times New Roman" w:hAnsi="Times New Roman" w:cs="Times New Roman"/>
                <w:color w:val="#000000"/>
                <w:sz w:val="24"/>
                <w:szCs w:val="24"/>
              </w:rPr>
              <w:t> 4.Проблема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w:t>
            </w:r>
          </w:p>
          <w:p>
            <w:pPr>
              <w:jc w:val="both"/>
              <w:spacing w:after="0" w:line="240" w:lineRule="auto"/>
              <w:rPr>
                <w:sz w:val="24"/>
                <w:szCs w:val="24"/>
              </w:rPr>
            </w:pPr>
            <w:r>
              <w:rPr>
                <w:rFonts w:ascii="Times New Roman" w:hAnsi="Times New Roman" w:cs="Times New Roman"/>
                <w:color w:val="#000000"/>
                <w:sz w:val="24"/>
                <w:szCs w:val="24"/>
              </w:rPr>
              <w:t> 5.Возможная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both"/>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both"/>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both"/>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both"/>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both"/>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 тенденции к определению синонимии падежных окончаний.</w:t>
            </w:r>
          </w:p>
          <w:p>
            <w:pPr>
              <w:jc w:val="both"/>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both"/>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pPr>
              <w:jc w:val="both"/>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1.Первое южнославянское влияние и связанные с ним культурно-языковые процессы.</w:t>
            </w:r>
          </w:p>
          <w:p>
            <w:pPr>
              <w:jc w:val="both"/>
              <w:spacing w:after="0" w:line="240" w:lineRule="auto"/>
              <w:rPr>
                <w:sz w:val="24"/>
                <w:szCs w:val="24"/>
              </w:rPr>
            </w:pPr>
            <w:r>
              <w:rPr>
                <w:rFonts w:ascii="Times New Roman" w:hAnsi="Times New Roman" w:cs="Times New Roman"/>
                <w:color w:val="#000000"/>
                <w:sz w:val="24"/>
                <w:szCs w:val="24"/>
              </w:rPr>
              <w:t> 2.Начало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w:t>
            </w:r>
          </w:p>
          <w:p>
            <w:pPr>
              <w:jc w:val="both"/>
              <w:spacing w:after="0" w:line="240" w:lineRule="auto"/>
              <w:rPr>
                <w:sz w:val="24"/>
                <w:szCs w:val="24"/>
              </w:rPr>
            </w:pPr>
            <w:r>
              <w:rPr>
                <w:rFonts w:ascii="Times New Roman" w:hAnsi="Times New Roman" w:cs="Times New Roman"/>
                <w:color w:val="#000000"/>
                <w:sz w:val="24"/>
                <w:szCs w:val="24"/>
              </w:rPr>
              <w:t> 5.Особенности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pPr>
              <w:jc w:val="both"/>
              <w:spacing w:after="0" w:line="240" w:lineRule="auto"/>
              <w:rPr>
                <w:sz w:val="24"/>
                <w:szCs w:val="24"/>
              </w:rPr>
            </w:pPr>
            <w:r>
              <w:rPr>
                <w:rFonts w:ascii="Times New Roman" w:hAnsi="Times New Roman" w:cs="Times New Roman"/>
                <w:color w:val="#000000"/>
                <w:sz w:val="24"/>
                <w:szCs w:val="24"/>
              </w:rPr>
              <w:t> 2.Искусственная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w:t>
            </w:r>
          </w:p>
          <w:p>
            <w:pPr>
              <w:jc w:val="both"/>
              <w:spacing w:after="0" w:line="240" w:lineRule="auto"/>
              <w:rPr>
                <w:sz w:val="24"/>
                <w:szCs w:val="24"/>
              </w:rPr>
            </w:pPr>
            <w:r>
              <w:rPr>
                <w:rFonts w:ascii="Times New Roman" w:hAnsi="Times New Roman" w:cs="Times New Roman"/>
                <w:color w:val="#000000"/>
                <w:sz w:val="24"/>
                <w:szCs w:val="24"/>
              </w:rPr>
              <w:t> 3.Активизация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2.Общественно-политическая ситуация в XVIII в. Языковые программы и языковая практика в XVIII в.</w:t>
            </w:r>
          </w:p>
          <w:p>
            <w:pPr>
              <w:jc w:val="both"/>
              <w:spacing w:after="0" w:line="240" w:lineRule="auto"/>
              <w:rPr>
                <w:sz w:val="24"/>
                <w:szCs w:val="24"/>
              </w:rPr>
            </w:pPr>
            <w:r>
              <w:rPr>
                <w:rFonts w:ascii="Times New Roman" w:hAnsi="Times New Roman" w:cs="Times New Roman"/>
                <w:color w:val="#000000"/>
                <w:sz w:val="24"/>
                <w:szCs w:val="24"/>
              </w:rPr>
              <w:t> 3.Общеевропейские лингво-стилистические схемы и специфика русского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4.Проблема отбора языкового материала в процессе нормализации литературного языка.</w:t>
            </w:r>
          </w:p>
          <w:p>
            <w:pPr>
              <w:jc w:val="both"/>
              <w:spacing w:after="0" w:line="240" w:lineRule="auto"/>
              <w:rPr>
                <w:sz w:val="24"/>
                <w:szCs w:val="24"/>
              </w:rPr>
            </w:pPr>
            <w:r>
              <w:rPr>
                <w:rFonts w:ascii="Times New Roman" w:hAnsi="Times New Roman" w:cs="Times New Roman"/>
                <w:color w:val="#000000"/>
                <w:sz w:val="24"/>
                <w:szCs w:val="24"/>
              </w:rPr>
              <w:t> 5.Языковая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8.Дальнейшее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2.Полифонизм поэтики Пушкина: разнородные лингвистические элементы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3.Функции славянизмов и заимствований в творчестве Пушкина. Пушкин как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 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left"/>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"летопись", "берестяная грамота".</w:t>
            </w:r>
          </w:p>
          <w:p>
            <w:pPr>
              <w:jc w:val="left"/>
              <w:spacing w:after="0" w:line="240" w:lineRule="auto"/>
              <w:rPr>
                <w:sz w:val="24"/>
                <w:szCs w:val="24"/>
              </w:rPr>
            </w:pPr>
            <w:r>
              <w:rPr>
                <w:rFonts w:ascii="Times New Roman" w:hAnsi="Times New Roman" w:cs="Times New Roman"/>
                <w:color w:val="#000000"/>
                <w:sz w:val="24"/>
                <w:szCs w:val="24"/>
              </w:rPr>
              <w:t> 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pPr>
              <w:jc w:val="left"/>
              <w:spacing w:after="0" w:line="240" w:lineRule="auto"/>
              <w:rPr>
                <w:sz w:val="24"/>
                <w:szCs w:val="24"/>
              </w:rPr>
            </w:pPr>
            <w:r>
              <w:rPr>
                <w:rFonts w:ascii="Times New Roman" w:hAnsi="Times New Roman" w:cs="Times New Roman"/>
                <w:color w:val="#000000"/>
                <w:sz w:val="24"/>
                <w:szCs w:val="24"/>
              </w:rPr>
              <w:t> 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"приказный язык", "проста мова".</w:t>
            </w:r>
          </w:p>
          <w:p>
            <w:pPr>
              <w:jc w:val="left"/>
              <w:spacing w:after="0" w:line="240" w:lineRule="auto"/>
              <w:rPr>
                <w:sz w:val="24"/>
                <w:szCs w:val="24"/>
              </w:rPr>
            </w:pPr>
            <w:r>
              <w:rPr>
                <w:rFonts w:ascii="Times New Roman" w:hAnsi="Times New Roman" w:cs="Times New Roman"/>
                <w:color w:val="#000000"/>
                <w:sz w:val="24"/>
                <w:szCs w:val="24"/>
              </w:rPr>
              <w:t> 2. Используя материал работ Б.А.Успенского, Г.А.Хабургаева, В.М.Живова, расскажите о трактовке этими учеными феномена "гибридный язык".</w:t>
            </w:r>
          </w:p>
          <w:p>
            <w:pPr>
              <w:jc w:val="left"/>
              <w:spacing w:after="0" w:line="240" w:lineRule="auto"/>
              <w:rPr>
                <w:sz w:val="24"/>
                <w:szCs w:val="24"/>
              </w:rPr>
            </w:pPr>
            <w:r>
              <w:rPr>
                <w:rFonts w:ascii="Times New Roman" w:hAnsi="Times New Roman" w:cs="Times New Roman"/>
                <w:color w:val="#000000"/>
                <w:sz w:val="24"/>
                <w:szCs w:val="24"/>
              </w:rPr>
              <w:t> 3. Приведите примеры соотношения славянизмов и русизмов в разных главах Домостроя.</w:t>
            </w:r>
          </w:p>
          <w:p>
            <w:pPr>
              <w:jc w:val="left"/>
              <w:spacing w:after="0" w:line="240" w:lineRule="auto"/>
              <w:rPr>
                <w:sz w:val="24"/>
                <w:szCs w:val="24"/>
              </w:rPr>
            </w:pPr>
            <w:r>
              <w:rPr>
                <w:rFonts w:ascii="Times New Roman" w:hAnsi="Times New Roman" w:cs="Times New Roman"/>
                <w:color w:val="#000000"/>
                <w:sz w:val="24"/>
                <w:szCs w:val="24"/>
              </w:rPr>
              <w:t> 4. Дайте определение понятий "второе южнославянское влияние", "книжная справа", "плетение словес".</w:t>
            </w:r>
          </w:p>
          <w:p>
            <w:pPr>
              <w:jc w:val="left"/>
              <w:spacing w:after="0" w:line="240" w:lineRule="auto"/>
              <w:rPr>
                <w:sz w:val="24"/>
                <w:szCs w:val="24"/>
              </w:rPr>
            </w:pPr>
            <w:r>
              <w:rPr>
                <w:rFonts w:ascii="Times New Roman" w:hAnsi="Times New Roman" w:cs="Times New Roman"/>
                <w:color w:val="#000000"/>
                <w:sz w:val="24"/>
                <w:szCs w:val="24"/>
              </w:rPr>
              <w:t> 5. Покажите различие взглядов на проблему второго южнославянского влияния в работах А.И.Соболевского, Г.А.Хабургаева, Л.П.Жуковской.</w:t>
            </w:r>
          </w:p>
          <w:p>
            <w:pPr>
              <w:jc w:val="left"/>
              <w:spacing w:after="0" w:line="240" w:lineRule="auto"/>
              <w:rPr>
                <w:sz w:val="24"/>
                <w:szCs w:val="24"/>
              </w:rPr>
            </w:pPr>
            <w:r>
              <w:rPr>
                <w:rFonts w:ascii="Times New Roman" w:hAnsi="Times New Roman" w:cs="Times New Roman"/>
                <w:color w:val="#000000"/>
                <w:sz w:val="24"/>
                <w:szCs w:val="24"/>
              </w:rPr>
              <w:t> 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21.31473"/>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pPr>
              <w:jc w:val="left"/>
              <w:spacing w:after="0" w:line="240" w:lineRule="auto"/>
              <w:rPr>
                <w:sz w:val="24"/>
                <w:szCs w:val="24"/>
              </w:rPr>
            </w:pPr>
            <w:r>
              <w:rPr>
                <w:rFonts w:ascii="Times New Roman" w:hAnsi="Times New Roman" w:cs="Times New Roman"/>
                <w:color w:val="#000000"/>
                <w:sz w:val="24"/>
                <w:szCs w:val="24"/>
              </w:rPr>
              <w:t> 2.Сопоставьте принципы разграничения стилей в трудах М.В. Ломоносова и в риториках XVIII в.</w:t>
            </w:r>
          </w:p>
          <w:p>
            <w:pPr>
              <w:jc w:val="left"/>
              <w:spacing w:after="0" w:line="240" w:lineRule="auto"/>
              <w:rPr>
                <w:sz w:val="24"/>
                <w:szCs w:val="24"/>
              </w:rPr>
            </w:pPr>
            <w:r>
              <w:rPr>
                <w:rFonts w:ascii="Times New Roman" w:hAnsi="Times New Roman" w:cs="Times New Roman"/>
                <w:color w:val="#000000"/>
                <w:sz w:val="24"/>
                <w:szCs w:val="24"/>
              </w:rPr>
              <w:t> 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pPr>
              <w:jc w:val="left"/>
              <w:spacing w:after="0" w:line="240" w:lineRule="auto"/>
              <w:rPr>
                <w:sz w:val="24"/>
                <w:szCs w:val="24"/>
              </w:rPr>
            </w:pPr>
            <w:r>
              <w:rPr>
                <w:rFonts w:ascii="Times New Roman" w:hAnsi="Times New Roman" w:cs="Times New Roman"/>
                <w:color w:val="#000000"/>
                <w:sz w:val="24"/>
                <w:szCs w:val="24"/>
              </w:rPr>
              <w:t> 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pPr>
              <w:jc w:val="left"/>
              <w:spacing w:after="0" w:line="240" w:lineRule="auto"/>
              <w:rPr>
                <w:sz w:val="24"/>
                <w:szCs w:val="24"/>
              </w:rPr>
            </w:pPr>
            <w:r>
              <w:rPr>
                <w:rFonts w:ascii="Times New Roman" w:hAnsi="Times New Roman" w:cs="Times New Roman"/>
                <w:color w:val="#000000"/>
                <w:sz w:val="24"/>
                <w:szCs w:val="24"/>
              </w:rPr>
              <w:t>  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языка» / Поопова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2023-2024_ФГОС3++2023_Бак-ОФО-ПО(РЯ)(23)_plx_История русского языка</dc:title>
  <dc:creator>FastReport.NET</dc:creator>
</cp:coreProperties>
</file>